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E6A33" w14:textId="22FC6113" w:rsidR="00E4434B" w:rsidRDefault="00E4434B" w:rsidP="00E4434B">
      <w:pPr>
        <w:pBdr>
          <w:bottom w:val="single" w:sz="4" w:space="1" w:color="auto"/>
        </w:pBdr>
        <w:jc w:val="center"/>
        <w:rPr>
          <w:b/>
          <w:bCs/>
          <w:sz w:val="24"/>
          <w:szCs w:val="24"/>
        </w:rPr>
      </w:pPr>
      <w:r w:rsidRPr="00F76C99">
        <w:rPr>
          <w:b/>
          <w:bCs/>
          <w:sz w:val="24"/>
          <w:szCs w:val="24"/>
        </w:rPr>
        <w:t xml:space="preserve">Overzicht wijzigingsvoorstellen GR </w:t>
      </w:r>
      <w:r>
        <w:rPr>
          <w:b/>
          <w:bCs/>
          <w:sz w:val="24"/>
          <w:szCs w:val="24"/>
        </w:rPr>
        <w:t>januari 2022</w:t>
      </w:r>
      <w:r w:rsidR="004E2447">
        <w:rPr>
          <w:b/>
          <w:bCs/>
          <w:sz w:val="24"/>
          <w:szCs w:val="24"/>
        </w:rPr>
        <w:t xml:space="preserve"> </w:t>
      </w:r>
      <w:r w:rsidR="004C1577">
        <w:rPr>
          <w:b/>
          <w:bCs/>
          <w:sz w:val="24"/>
          <w:szCs w:val="24"/>
        </w:rPr>
        <w:t>Hoogle</w:t>
      </w:r>
      <w:r w:rsidR="003C0B79">
        <w:rPr>
          <w:b/>
          <w:bCs/>
          <w:sz w:val="24"/>
          <w:szCs w:val="24"/>
        </w:rPr>
        <w:t>de</w:t>
      </w:r>
    </w:p>
    <w:p w14:paraId="7F3CE670" w14:textId="77777777" w:rsidR="00E4434B" w:rsidRPr="001077F7" w:rsidRDefault="00E4434B" w:rsidP="00E4434B">
      <w:pPr>
        <w:pBdr>
          <w:bottom w:val="single" w:sz="4" w:space="1" w:color="auto"/>
        </w:pBdr>
        <w:jc w:val="center"/>
        <w:rPr>
          <w:b/>
          <w:bCs/>
          <w:sz w:val="24"/>
          <w:szCs w:val="24"/>
        </w:rPr>
      </w:pPr>
      <w:r>
        <w:rPr>
          <w:b/>
          <w:bCs/>
          <w:sz w:val="24"/>
          <w:szCs w:val="24"/>
        </w:rPr>
        <w:t>Definitieve versie 22 december 2021</w:t>
      </w:r>
    </w:p>
    <w:p w14:paraId="5E615491" w14:textId="77777777" w:rsidR="00E4434B" w:rsidRPr="007C5605" w:rsidRDefault="00E4434B" w:rsidP="00E4434B">
      <w:pPr>
        <w:pStyle w:val="Lijstalinea"/>
        <w:numPr>
          <w:ilvl w:val="0"/>
          <w:numId w:val="1"/>
        </w:numPr>
        <w:spacing w:after="0"/>
        <w:jc w:val="both"/>
        <w:rPr>
          <w:rFonts w:ascii="Calibri" w:eastAsia="Calibri" w:hAnsi="Calibri" w:cs="Calibri"/>
          <w:b/>
          <w:bCs/>
        </w:rPr>
      </w:pPr>
      <w:bookmarkStart w:id="0" w:name="_Hlk89164181"/>
      <w:r w:rsidRPr="007C5605">
        <w:rPr>
          <w:rFonts w:ascii="Calibri" w:eastAsia="Calibri" w:hAnsi="Calibri" w:cs="Calibri"/>
          <w:b/>
          <w:bCs/>
        </w:rPr>
        <w:t xml:space="preserve">NIEUW </w:t>
      </w:r>
      <w:r>
        <w:rPr>
          <w:rFonts w:ascii="Calibri" w:eastAsia="Calibri" w:hAnsi="Calibri" w:cs="Calibri"/>
          <w:b/>
          <w:bCs/>
        </w:rPr>
        <w:t>a</w:t>
      </w:r>
      <w:r w:rsidRPr="007C5605">
        <w:rPr>
          <w:rFonts w:ascii="Calibri" w:eastAsia="Calibri" w:hAnsi="Calibri" w:cs="Calibri"/>
          <w:b/>
          <w:bCs/>
        </w:rPr>
        <w:t>rtikel 2.4.9 Verplichte affichering van de gevraagde huurprijs en gemeenschappelijke kosten/lasten</w:t>
      </w:r>
    </w:p>
    <w:p w14:paraId="56F61E82" w14:textId="77777777" w:rsidR="00E4434B" w:rsidRPr="007C5605" w:rsidRDefault="00E4434B" w:rsidP="00E4434B">
      <w:pPr>
        <w:spacing w:after="0"/>
        <w:jc w:val="both"/>
        <w:rPr>
          <w:rFonts w:ascii="Calibri" w:eastAsia="Calibri" w:hAnsi="Calibri" w:cs="Calibri"/>
          <w:b/>
          <w:bCs/>
        </w:rPr>
      </w:pPr>
    </w:p>
    <w:p w14:paraId="3AFD4748" w14:textId="77777777" w:rsidR="00E4434B" w:rsidRPr="007C5605" w:rsidRDefault="00E4434B" w:rsidP="00E4434B">
      <w:pPr>
        <w:spacing w:after="0"/>
        <w:jc w:val="both"/>
        <w:rPr>
          <w:rFonts w:ascii="Calibri" w:eastAsia="Calibri" w:hAnsi="Calibri" w:cs="Calibri"/>
          <w:b/>
          <w:bCs/>
        </w:rPr>
      </w:pPr>
      <w:r w:rsidRPr="007C5605">
        <w:rPr>
          <w:rFonts w:ascii="Calibri" w:eastAsia="Calibri" w:hAnsi="Calibri" w:cs="Calibri"/>
          <w:b/>
          <w:bCs/>
        </w:rPr>
        <w:t>§1 Inbreuken op artikel 4 van het Vlaamse Woninghuurdecreet kunnen conform de bepalingen in het decreet bestraft worden met een gemeentelijke administratieve sanctie.</w:t>
      </w:r>
    </w:p>
    <w:p w14:paraId="21A457C5" w14:textId="77777777" w:rsidR="00E4434B" w:rsidRPr="007C5605" w:rsidRDefault="00E4434B" w:rsidP="00E4434B">
      <w:pPr>
        <w:rPr>
          <w:rFonts w:eastAsia="Times New Roman" w:cstheme="minorHAnsi"/>
          <w:b/>
          <w:bCs/>
          <w:color w:val="000000"/>
        </w:rPr>
      </w:pPr>
      <w:r w:rsidRPr="007C5605">
        <w:rPr>
          <w:rFonts w:eastAsia="Times New Roman" w:cstheme="minorHAnsi"/>
          <w:b/>
          <w:bCs/>
          <w:color w:val="000000"/>
        </w:rPr>
        <w:t>§2. Voor wooneenheden in een meergezinswoning op het 2de verdiep of hoger die te huur worden aangeboden, dienen de huurprijs en de gemeenschappelijke kosten en/of lasten te worden geafficheerd in de inkomhal van die meergezinswoning, voor zover zij niet via een digitaal zoekertje kunnen worden geraadpleegd.</w:t>
      </w:r>
    </w:p>
    <w:p w14:paraId="38C7E666" w14:textId="77777777" w:rsidR="00E4434B" w:rsidRDefault="00E4434B" w:rsidP="00E4434B">
      <w:pPr>
        <w:spacing w:after="0"/>
        <w:jc w:val="both"/>
        <w:rPr>
          <w:rFonts w:ascii="Calibri" w:eastAsia="Calibri" w:hAnsi="Calibri" w:cs="Calibri"/>
          <w:b/>
          <w:bCs/>
        </w:rPr>
      </w:pPr>
    </w:p>
    <w:p w14:paraId="67DEBBFB" w14:textId="77777777" w:rsidR="00E4434B" w:rsidRDefault="00E4434B" w:rsidP="00E4434B">
      <w:pPr>
        <w:pStyle w:val="Tekstopmerking"/>
        <w:rPr>
          <w:rFonts w:eastAsia="Calibri"/>
          <w:sz w:val="22"/>
          <w:szCs w:val="22"/>
        </w:rPr>
      </w:pPr>
      <w:r w:rsidRPr="00EC7263">
        <w:rPr>
          <w:rFonts w:eastAsia="Calibri"/>
          <w:i/>
          <w:iCs/>
          <w:sz w:val="22"/>
          <w:szCs w:val="22"/>
        </w:rPr>
        <w:t>Motivatie:</w:t>
      </w:r>
      <w:r w:rsidRPr="00EC7263">
        <w:rPr>
          <w:rFonts w:eastAsia="Calibri"/>
          <w:sz w:val="22"/>
          <w:szCs w:val="22"/>
        </w:rPr>
        <w:t xml:space="preserve"> </w:t>
      </w:r>
    </w:p>
    <w:p w14:paraId="66DE7FB9" w14:textId="77777777" w:rsidR="00E4434B" w:rsidRPr="00EC7263" w:rsidRDefault="00E4434B" w:rsidP="00E4434B">
      <w:pPr>
        <w:pStyle w:val="Tekstopmerking"/>
        <w:rPr>
          <w:sz w:val="22"/>
          <w:szCs w:val="22"/>
        </w:rPr>
      </w:pPr>
      <w:r w:rsidRPr="00EC7263">
        <w:rPr>
          <w:rFonts w:eastAsia="Calibri"/>
          <w:sz w:val="22"/>
          <w:szCs w:val="22"/>
        </w:rPr>
        <w:t>Artikel 4 van het Vlaams Woninghuurdecreet bepaalt “</w:t>
      </w:r>
      <w:r w:rsidRPr="00EC7263">
        <w:rPr>
          <w:sz w:val="22"/>
          <w:szCs w:val="22"/>
        </w:rPr>
        <w:t>Als een goed dat bestemd is voor bewoning in de ruime betekenis, wordt verhuurd, wordt in elke officiële of publieke mededeling minstens het bedrag van de gevraagde huurprijs en van de kosten en lasten vermeld.</w:t>
      </w:r>
      <w:r>
        <w:rPr>
          <w:sz w:val="22"/>
          <w:szCs w:val="22"/>
        </w:rPr>
        <w:t xml:space="preserve"> </w:t>
      </w:r>
      <w:r w:rsidRPr="00EC7263">
        <w:rPr>
          <w:sz w:val="22"/>
          <w:szCs w:val="22"/>
        </w:rPr>
        <w:t>Als de verhuurder of zijn gevolmachtigde de verplichting, vermeld in het eerste lid, niet naleeft, kan de gemeente diegene die de officiële of publieke mededeling doet, een administratieve boete van 50 tot 350 euro opleggen.</w:t>
      </w:r>
    </w:p>
    <w:p w14:paraId="00D6B97F" w14:textId="77777777" w:rsidR="00E4434B" w:rsidRPr="00EC7263" w:rsidRDefault="00E4434B" w:rsidP="00E4434B">
      <w:pPr>
        <w:pStyle w:val="Tekstopmerking"/>
        <w:rPr>
          <w:sz w:val="22"/>
          <w:szCs w:val="22"/>
        </w:rPr>
      </w:pPr>
      <w:r w:rsidRPr="00EC7263">
        <w:rPr>
          <w:sz w:val="22"/>
          <w:szCs w:val="22"/>
        </w:rPr>
        <w:t>De gemeente kan de inbreuken op de verplichting, vermeld in het eerste lid, vaststellen, vervolgen en bestraffen. De bevoegde gemeente is die waar het goed zich bevindt. De inbreuken worden vastgesteld, vervolgd en bestraft conform de vormvereisten, de termijnen en de procedures, vermeld in de wet van 24 juni 2013 betreffende de gemeentelijke administratieve sancties.”</w:t>
      </w:r>
    </w:p>
    <w:bookmarkEnd w:id="0"/>
    <w:p w14:paraId="4896F615" w14:textId="77777777" w:rsidR="00E4434B" w:rsidRDefault="00E4434B" w:rsidP="00E4434B">
      <w:pPr>
        <w:pStyle w:val="paragraph"/>
        <w:spacing w:before="0" w:beforeAutospacing="0" w:after="0" w:afterAutospacing="0"/>
        <w:jc w:val="both"/>
        <w:textAlignment w:val="baseline"/>
        <w:rPr>
          <w:rFonts w:ascii="Segoe UI" w:hAnsi="Segoe UI" w:cs="Segoe UI"/>
          <w:sz w:val="18"/>
          <w:szCs w:val="18"/>
        </w:rPr>
      </w:pPr>
    </w:p>
    <w:p w14:paraId="626B5F44" w14:textId="77777777" w:rsidR="00E4434B" w:rsidRDefault="00E4434B" w:rsidP="00E4434B">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Enerzijds wordt met de verplichte affichering de willekeur en discriminatie van huurders een halt toegeroepen. Er wordt vermeden dat de eigenaar-verhuurder de prijs aanpast naargelang het profiel van de kandidaat-huurder dat zich komt aanmelden. </w:t>
      </w:r>
      <w:r>
        <w:rPr>
          <w:rStyle w:val="eop"/>
          <w:rFonts w:ascii="Calibri" w:hAnsi="Calibri" w:cs="Calibri"/>
          <w:sz w:val="22"/>
          <w:szCs w:val="22"/>
          <w:lang w:val="nl-NL"/>
        </w:rPr>
        <w:t> </w:t>
      </w:r>
    </w:p>
    <w:p w14:paraId="4C329EA0" w14:textId="77777777" w:rsidR="00E4434B" w:rsidRDefault="00E4434B" w:rsidP="00E4434B">
      <w:pPr>
        <w:pStyle w:val="paragraph"/>
        <w:spacing w:before="0" w:beforeAutospacing="0" w:after="0" w:afterAutospacing="0"/>
        <w:jc w:val="both"/>
        <w:textAlignment w:val="baseline"/>
      </w:pPr>
    </w:p>
    <w:p w14:paraId="4CFC41AE" w14:textId="77777777" w:rsidR="00E4434B" w:rsidRDefault="00E4434B" w:rsidP="00E4434B">
      <w:pPr>
        <w:pStyle w:val="paragraph"/>
        <w:spacing w:before="0" w:beforeAutospacing="0" w:after="0" w:afterAutospacing="0"/>
        <w:jc w:val="both"/>
        <w:textAlignment w:val="baseline"/>
        <w:rPr>
          <w:rStyle w:val="eop"/>
          <w:lang w:val="nl-NL"/>
        </w:rPr>
      </w:pPr>
      <w:r>
        <w:rPr>
          <w:rStyle w:val="normaltextrun"/>
          <w:rFonts w:ascii="Calibri" w:hAnsi="Calibri" w:cs="Calibri"/>
          <w:sz w:val="22"/>
          <w:szCs w:val="22"/>
        </w:rPr>
        <w:t>Anderzijds is het correct informeren van de kandidaat-huurders voordelig voor de eigenaar-verhuurders/vastgoedmakelaars. In de eerste plaats bespaart het </w:t>
      </w:r>
      <w:r>
        <w:rPr>
          <w:rStyle w:val="contextualspellingandgrammarerror"/>
          <w:rFonts w:ascii="Calibri" w:hAnsi="Calibri" w:cs="Calibri"/>
          <w:sz w:val="22"/>
          <w:szCs w:val="22"/>
        </w:rPr>
        <w:t>hen</w:t>
      </w:r>
      <w:r>
        <w:rPr>
          <w:rStyle w:val="normaltextrun"/>
          <w:rFonts w:ascii="Calibri" w:hAnsi="Calibri" w:cs="Calibri"/>
          <w:sz w:val="22"/>
          <w:szCs w:val="22"/>
        </w:rPr>
        <w:t> tijd en moeite om de </w:t>
      </w:r>
      <w:r>
        <w:rPr>
          <w:rStyle w:val="contextualspellingandgrammarerror"/>
          <w:rFonts w:ascii="Calibri" w:hAnsi="Calibri" w:cs="Calibri"/>
          <w:sz w:val="22"/>
          <w:szCs w:val="22"/>
        </w:rPr>
        <w:t>anders  vele</w:t>
      </w:r>
      <w:r>
        <w:rPr>
          <w:rStyle w:val="normaltextrun"/>
          <w:rFonts w:ascii="Calibri" w:hAnsi="Calibri" w:cs="Calibri"/>
          <w:sz w:val="22"/>
          <w:szCs w:val="22"/>
        </w:rPr>
        <w:t> vragen van geïnteresseerden rond de kosten voor het huren te beantwoorden. In tweede instantie weten de geïnteresseerde kandidaat-huurders meteen of ze zich het pand dat ze op het oog hebben en willen bezichtigen wel of niet kunnen veroorloven. Met een (correcte) affichering van de huurprijs en de kosten/lasten weet de kandidaat-huurder meteen waar hij aan toe is. </w:t>
      </w:r>
      <w:r>
        <w:rPr>
          <w:rStyle w:val="eop"/>
          <w:rFonts w:ascii="Calibri" w:hAnsi="Calibri" w:cs="Calibri"/>
          <w:sz w:val="22"/>
          <w:szCs w:val="22"/>
          <w:lang w:val="nl-NL"/>
        </w:rPr>
        <w:t> </w:t>
      </w:r>
    </w:p>
    <w:p w14:paraId="04709D16" w14:textId="77777777" w:rsidR="00E4434B" w:rsidRDefault="00E4434B" w:rsidP="00E4434B">
      <w:pPr>
        <w:pStyle w:val="Lijstalinea"/>
        <w:rPr>
          <w:b/>
          <w:bCs/>
        </w:rPr>
      </w:pPr>
    </w:p>
    <w:p w14:paraId="6F47058B" w14:textId="77777777" w:rsidR="00E4434B" w:rsidRPr="007C5605" w:rsidRDefault="00E4434B" w:rsidP="00E4434B">
      <w:pPr>
        <w:pStyle w:val="Lijstalinea"/>
        <w:numPr>
          <w:ilvl w:val="0"/>
          <w:numId w:val="1"/>
        </w:numPr>
        <w:rPr>
          <w:b/>
          <w:bCs/>
        </w:rPr>
      </w:pPr>
      <w:r w:rsidRPr="007C5605">
        <w:rPr>
          <w:b/>
          <w:bCs/>
        </w:rPr>
        <w:t>Verfijning artikel 2.7.3.</w:t>
      </w:r>
    </w:p>
    <w:p w14:paraId="12AC9A50" w14:textId="77777777" w:rsidR="00E4434B" w:rsidRDefault="00E4434B" w:rsidP="00E4434B">
      <w:pPr>
        <w:rPr>
          <w:b/>
          <w:bCs/>
        </w:rPr>
      </w:pPr>
      <w:r>
        <w:t xml:space="preserve">Het achterlaten, opslaan of storten van afvalstoffen op niet-reglementaire plaatsen, op niet-reglementaire tijdstippen of in niet- reglementaire </w:t>
      </w:r>
      <w:proofErr w:type="spellStart"/>
      <w:r>
        <w:t>recipiënten</w:t>
      </w:r>
      <w:proofErr w:type="spellEnd"/>
      <w:r>
        <w:t xml:space="preserve"> is verboden. </w:t>
      </w:r>
      <w:r>
        <w:rPr>
          <w:b/>
          <w:bCs/>
        </w:rPr>
        <w:t>De kosten voor verwijdering, de opkuis en afvoeren van de niet- reglementair achtergelaten, opgeslagen of gestorte afvalstoffen kunnen verhaald worden op de overtreder.</w:t>
      </w:r>
    </w:p>
    <w:p w14:paraId="02A8A970" w14:textId="77777777" w:rsidR="00E4434B" w:rsidRPr="007C5605" w:rsidRDefault="00E4434B" w:rsidP="00E4434B">
      <w:pPr>
        <w:rPr>
          <w:i/>
          <w:iCs/>
        </w:rPr>
      </w:pPr>
      <w:r w:rsidRPr="007C5605">
        <w:rPr>
          <w:i/>
          <w:iCs/>
        </w:rPr>
        <w:t>Motivatie</w:t>
      </w:r>
    </w:p>
    <w:p w14:paraId="1B78CDE9" w14:textId="77777777" w:rsidR="00E4434B" w:rsidRPr="007C5605" w:rsidRDefault="00E4434B" w:rsidP="00E4434B">
      <w:pPr>
        <w:rPr>
          <w:b/>
          <w:bCs/>
        </w:rPr>
      </w:pPr>
      <w:r>
        <w:t>De overtreder kan, bovenop de GAS boete, verantwoordelijk gesteld worden voor het opruimingskosten van het sluikstort. Dit zoals reeds het geval bij een overtreding van art. 2.7.4 (zwerfvuil) en art 2.10.1 en 2.10.2 (gezondheid van onroerende goederen).</w:t>
      </w:r>
    </w:p>
    <w:p w14:paraId="04801B2C" w14:textId="77777777" w:rsidR="00E4434B" w:rsidRDefault="00E4434B" w:rsidP="00E4434B">
      <w:pPr>
        <w:pStyle w:val="Lijstalinea"/>
        <w:rPr>
          <w:b/>
          <w:bCs/>
        </w:rPr>
      </w:pPr>
    </w:p>
    <w:p w14:paraId="419F21F4" w14:textId="77777777" w:rsidR="00E4434B" w:rsidRDefault="00E4434B" w:rsidP="00E4434B">
      <w:pPr>
        <w:pStyle w:val="Lijstalinea"/>
        <w:rPr>
          <w:b/>
          <w:bCs/>
        </w:rPr>
      </w:pPr>
    </w:p>
    <w:p w14:paraId="10E6659C" w14:textId="77777777" w:rsidR="00E4434B" w:rsidRPr="007C5605" w:rsidRDefault="00E4434B" w:rsidP="00E4434B">
      <w:pPr>
        <w:pStyle w:val="Lijstalinea"/>
        <w:numPr>
          <w:ilvl w:val="0"/>
          <w:numId w:val="1"/>
        </w:numPr>
        <w:rPr>
          <w:b/>
          <w:bCs/>
        </w:rPr>
      </w:pPr>
      <w:r>
        <w:rPr>
          <w:b/>
          <w:bCs/>
        </w:rPr>
        <w:lastRenderedPageBreak/>
        <w:t>Verfijning</w:t>
      </w:r>
      <w:r w:rsidRPr="007C5605">
        <w:rPr>
          <w:b/>
          <w:bCs/>
        </w:rPr>
        <w:t xml:space="preserve"> art</w:t>
      </w:r>
      <w:r>
        <w:rPr>
          <w:b/>
          <w:bCs/>
        </w:rPr>
        <w:t>ikel</w:t>
      </w:r>
      <w:r w:rsidRPr="007C5605">
        <w:rPr>
          <w:b/>
          <w:bCs/>
        </w:rPr>
        <w:t xml:space="preserve"> 2.7.9 </w:t>
      </w:r>
    </w:p>
    <w:p w14:paraId="71D4CE96" w14:textId="77777777" w:rsidR="00E4434B" w:rsidRPr="00187D43" w:rsidRDefault="00E4434B" w:rsidP="00E4434B">
      <w:pPr>
        <w:spacing w:after="120" w:line="240" w:lineRule="auto"/>
        <w:rPr>
          <w:rFonts w:ascii="Calibri" w:eastAsia="Times New Roman" w:hAnsi="Calibri" w:cs="Times New Roman"/>
          <w:color w:val="000000"/>
          <w:lang w:eastAsia="nl-BE"/>
        </w:rPr>
      </w:pPr>
      <w:r w:rsidRPr="00187D43">
        <w:rPr>
          <w:rFonts w:ascii="Calibri" w:eastAsia="Times New Roman" w:hAnsi="Calibri" w:cs="Times New Roman"/>
          <w:color w:val="000000"/>
          <w:lang w:eastAsia="nl-BE"/>
        </w:rPr>
        <w:t>§1</w:t>
      </w:r>
      <w:r>
        <w:rPr>
          <w:rFonts w:ascii="Calibri" w:eastAsia="Times New Roman" w:hAnsi="Calibri" w:cs="Times New Roman"/>
          <w:color w:val="000000"/>
          <w:lang w:eastAsia="nl-BE"/>
        </w:rPr>
        <w:t xml:space="preserve"> </w:t>
      </w:r>
      <w:r w:rsidRPr="00187D43">
        <w:rPr>
          <w:rFonts w:ascii="Calibri" w:eastAsia="Times New Roman" w:hAnsi="Calibri" w:cs="Times New Roman"/>
          <w:color w:val="000000"/>
          <w:lang w:eastAsia="nl-BE"/>
        </w:rPr>
        <w:t>Het is verboden om het even welk voorwerp in het kanaal, de vijvers, fonteinen, beken, grachten, stadsriolen of slikputten, te werpen.</w:t>
      </w:r>
    </w:p>
    <w:p w14:paraId="0C06442F" w14:textId="77777777" w:rsidR="00E4434B" w:rsidRPr="009919BE" w:rsidRDefault="00E4434B" w:rsidP="00E4434B">
      <w:pPr>
        <w:spacing w:after="120" w:line="240" w:lineRule="auto"/>
        <w:rPr>
          <w:rFonts w:ascii="Calibri" w:eastAsia="Times New Roman" w:hAnsi="Calibri" w:cs="Times New Roman"/>
          <w:color w:val="FF0000"/>
          <w:lang w:eastAsia="nl-BE"/>
        </w:rPr>
      </w:pPr>
      <w:r w:rsidRPr="00187D43">
        <w:rPr>
          <w:rFonts w:ascii="Calibri" w:eastAsia="Times New Roman" w:hAnsi="Calibri" w:cs="Times New Roman"/>
          <w:color w:val="000000"/>
          <w:lang w:eastAsia="nl-BE"/>
        </w:rPr>
        <w:t>§2</w:t>
      </w:r>
      <w:r>
        <w:rPr>
          <w:rFonts w:ascii="Calibri" w:eastAsia="Times New Roman" w:hAnsi="Calibri" w:cs="Times New Roman"/>
          <w:color w:val="000000"/>
          <w:lang w:eastAsia="nl-BE"/>
        </w:rPr>
        <w:t xml:space="preserve"> </w:t>
      </w:r>
      <w:r w:rsidRPr="00187D43">
        <w:rPr>
          <w:rFonts w:ascii="Calibri" w:eastAsia="Times New Roman" w:hAnsi="Calibri" w:cs="Times New Roman"/>
          <w:color w:val="000000"/>
          <w:lang w:eastAsia="nl-BE"/>
        </w:rPr>
        <w:t>Het is verboden in de grachten iets te plaatsen, te gieten, te gooien of te laten lopen, waardoor de normale waterafvoer kan verhinderd of bezoedeld worden.</w:t>
      </w:r>
      <w:r w:rsidRPr="00187D43">
        <w:rPr>
          <w:rFonts w:ascii="Calibri" w:eastAsia="Times New Roman" w:hAnsi="Calibri" w:cs="Times New Roman"/>
          <w:b/>
          <w:bCs/>
          <w:lang w:eastAsia="nl-BE"/>
        </w:rPr>
        <w:t xml:space="preserve"> </w:t>
      </w:r>
      <w:r w:rsidRPr="00187D43">
        <w:rPr>
          <w:rFonts w:ascii="Calibri" w:eastAsia="Times New Roman" w:hAnsi="Calibri" w:cs="Times New Roman"/>
          <w:lang w:eastAsia="nl-BE"/>
        </w:rPr>
        <w:t xml:space="preserve">Behoudens wat voldoet aan de rioleringswetgeving. </w:t>
      </w:r>
    </w:p>
    <w:p w14:paraId="677283EE" w14:textId="77777777" w:rsidR="00E4434B" w:rsidRDefault="00E4434B" w:rsidP="00E4434B">
      <w:pPr>
        <w:rPr>
          <w:rFonts w:cstheme="minorHAnsi"/>
          <w:b/>
          <w:bCs/>
        </w:rPr>
      </w:pPr>
      <w:r w:rsidRPr="00F554C7">
        <w:rPr>
          <w:rFonts w:cstheme="minorHAnsi"/>
          <w:b/>
          <w:bCs/>
        </w:rPr>
        <w:t xml:space="preserve">§3 Het is verboden om voorwerpen in de openbare wateren te gooien m.u.v. lokaas en gevangen vissen in het kader van de hengelsport. Enkel gereglementeerde lokaas wordt toegelaten, met een maximum aan aasvissen en lokaas zoals omschreven in de bovenlokale regelgeving en de bepalingen die van toepassing zijn voor het desbetreffende openbaar water. Het is verboden om alternatieve voedingswaren als lokaas te gebruiken (bv. etensresten, hondenbrokken, brood, voedergranen,…). </w:t>
      </w:r>
    </w:p>
    <w:p w14:paraId="2F3C3EE4" w14:textId="77777777" w:rsidR="00E4434B" w:rsidRPr="007C5605" w:rsidRDefault="00E4434B" w:rsidP="00E4434B">
      <w:pPr>
        <w:rPr>
          <w:rFonts w:cstheme="minorHAnsi"/>
          <w:i/>
          <w:iCs/>
        </w:rPr>
      </w:pPr>
      <w:r w:rsidRPr="007C5605">
        <w:rPr>
          <w:rFonts w:cstheme="minorHAnsi"/>
          <w:i/>
          <w:iCs/>
        </w:rPr>
        <w:t>Motivatie</w:t>
      </w:r>
    </w:p>
    <w:p w14:paraId="35458D37" w14:textId="77777777" w:rsidR="00E4434B" w:rsidRPr="007C5605" w:rsidRDefault="00E4434B" w:rsidP="00E4434B">
      <w:pPr>
        <w:rPr>
          <w:rFonts w:cstheme="minorHAnsi"/>
          <w:b/>
          <w:bCs/>
        </w:rPr>
      </w:pPr>
      <w:r>
        <w:t>Er wordt vastgesteld dat er frequenter gevist wordt met lokaas die de waterkwaliteit aantast of ongedierte aantrekt</w:t>
      </w:r>
    </w:p>
    <w:p w14:paraId="48474F65" w14:textId="77777777" w:rsidR="00E4434B" w:rsidRPr="007C5605" w:rsidRDefault="00E4434B" w:rsidP="00E4434B">
      <w:pPr>
        <w:pStyle w:val="Lijstalinea"/>
        <w:numPr>
          <w:ilvl w:val="0"/>
          <w:numId w:val="1"/>
        </w:numPr>
        <w:rPr>
          <w:b/>
          <w:bCs/>
        </w:rPr>
      </w:pPr>
      <w:r>
        <w:rPr>
          <w:b/>
          <w:bCs/>
        </w:rPr>
        <w:t>Verfijning a</w:t>
      </w:r>
      <w:r w:rsidRPr="007C5605">
        <w:rPr>
          <w:b/>
          <w:bCs/>
        </w:rPr>
        <w:t>rtikel 2.7.10</w:t>
      </w:r>
    </w:p>
    <w:p w14:paraId="72BDBC6A" w14:textId="77777777" w:rsidR="00E4434B" w:rsidRPr="009919BE" w:rsidRDefault="00E4434B" w:rsidP="00E4434B">
      <w:pPr>
        <w:spacing w:after="120" w:line="240" w:lineRule="auto"/>
        <w:rPr>
          <w:rFonts w:ascii="Calibri" w:eastAsia="Times New Roman" w:hAnsi="Calibri" w:cs="Times New Roman"/>
          <w:lang w:eastAsia="nl-BE"/>
        </w:rPr>
      </w:pPr>
      <w:r w:rsidRPr="00187D43">
        <w:rPr>
          <w:rFonts w:ascii="Calibri" w:eastAsia="Times New Roman" w:hAnsi="Calibri" w:cs="Times New Roman"/>
          <w:lang w:eastAsia="nl-BE"/>
        </w:rPr>
        <w:t xml:space="preserve">Het is verboden op het openbaar domein etensresten, eetbaar huishoudelijk afval en voedergranen te werpen of achter te </w:t>
      </w:r>
      <w:r w:rsidRPr="00F46FBB">
        <w:rPr>
          <w:rFonts w:ascii="Calibri" w:eastAsia="Times New Roman" w:hAnsi="Calibri" w:cs="Times New Roman"/>
          <w:lang w:eastAsia="nl-BE"/>
        </w:rPr>
        <w:t>laten of huisvesting aan dieren aan te bieden,</w:t>
      </w:r>
      <w:r w:rsidRPr="00187D43">
        <w:rPr>
          <w:rFonts w:ascii="Calibri" w:eastAsia="Times New Roman" w:hAnsi="Calibri" w:cs="Times New Roman"/>
          <w:lang w:eastAsia="nl-BE"/>
        </w:rPr>
        <w:t xml:space="preserve"> tenzij bijzondere machtiging van de burgemeester. De burgemeester kan instellingen of personen daartoe schriftelijke vergunning verlenen met aanduiding van tijdstip en plaats van het voederen.</w:t>
      </w:r>
    </w:p>
    <w:p w14:paraId="73F22FD5" w14:textId="77777777" w:rsidR="00E4434B" w:rsidRPr="007C5605" w:rsidRDefault="00E4434B" w:rsidP="00E4434B">
      <w:pPr>
        <w:jc w:val="both"/>
        <w:rPr>
          <w:rFonts w:cstheme="minorHAnsi"/>
          <w:b/>
          <w:bCs/>
        </w:rPr>
      </w:pPr>
      <w:r w:rsidRPr="00F554C7">
        <w:rPr>
          <w:rFonts w:cstheme="minorHAnsi"/>
          <w:b/>
          <w:bCs/>
        </w:rPr>
        <w:t>Het is verboden om vissen en andere dieren op/in het water te voederen.</w:t>
      </w:r>
      <w:r w:rsidRPr="008F38EF">
        <w:rPr>
          <w:rFonts w:asciiTheme="majorHAnsi" w:hAnsiTheme="majorHAnsi" w:cstheme="majorHAnsi"/>
        </w:rPr>
        <w:t xml:space="preserve"> </w:t>
      </w:r>
      <w:r w:rsidRPr="008F38EF">
        <w:rPr>
          <w:rFonts w:cstheme="minorHAnsi"/>
          <w:b/>
          <w:bCs/>
        </w:rPr>
        <w:t>Uitzondering daarop is het gebruik van gereglementeerde lokaas in het kader van de hengelsport.</w:t>
      </w:r>
    </w:p>
    <w:p w14:paraId="2D21EC00" w14:textId="77777777" w:rsidR="00E4434B" w:rsidRPr="007C5605" w:rsidRDefault="00E4434B" w:rsidP="00E4434B">
      <w:pPr>
        <w:rPr>
          <w:rFonts w:cstheme="minorHAnsi"/>
          <w:i/>
          <w:iCs/>
        </w:rPr>
      </w:pPr>
      <w:r w:rsidRPr="007C5605">
        <w:rPr>
          <w:rFonts w:cstheme="minorHAnsi"/>
          <w:i/>
          <w:iCs/>
        </w:rPr>
        <w:t>Motivatie</w:t>
      </w:r>
    </w:p>
    <w:p w14:paraId="09678BF4" w14:textId="77777777" w:rsidR="00E4434B" w:rsidRPr="00DC13A8" w:rsidRDefault="00E4434B" w:rsidP="00E4434B">
      <w:r>
        <w:t xml:space="preserve">Er wordt vastgesteld dat er frequenter gevist wordt met lokaas die de waterkwaliteit aantast of ongedierte aantrekt. </w:t>
      </w:r>
    </w:p>
    <w:p w14:paraId="6470BBD9" w14:textId="77777777" w:rsidR="00E4434B" w:rsidRPr="009919BE" w:rsidRDefault="00E4434B" w:rsidP="00E4434B">
      <w:pPr>
        <w:rPr>
          <w:rFonts w:cstheme="minorHAnsi"/>
        </w:rPr>
      </w:pPr>
    </w:p>
    <w:p w14:paraId="53E3541D" w14:textId="77777777" w:rsidR="00E4434B" w:rsidRPr="007C5605" w:rsidRDefault="00E4434B" w:rsidP="00E4434B">
      <w:pPr>
        <w:pStyle w:val="Lijstalinea"/>
        <w:numPr>
          <w:ilvl w:val="0"/>
          <w:numId w:val="1"/>
        </w:numPr>
        <w:rPr>
          <w:b/>
          <w:bCs/>
        </w:rPr>
      </w:pPr>
      <w:r w:rsidRPr="007C5605">
        <w:rPr>
          <w:b/>
          <w:bCs/>
        </w:rPr>
        <w:t>Verfijning artikel  2.13.2</w:t>
      </w:r>
    </w:p>
    <w:p w14:paraId="531EC609" w14:textId="77777777" w:rsidR="00E4434B" w:rsidRPr="005863B9" w:rsidRDefault="00E4434B" w:rsidP="00E4434B">
      <w:pPr>
        <w:spacing w:after="120" w:line="240" w:lineRule="auto"/>
        <w:rPr>
          <w:rFonts w:ascii="Calibri" w:eastAsia="Times New Roman" w:hAnsi="Calibri" w:cs="Times New Roman"/>
          <w:bCs/>
          <w:color w:val="000000"/>
          <w:lang w:eastAsia="nl-BE"/>
        </w:rPr>
      </w:pPr>
      <w:r w:rsidRPr="005863B9">
        <w:rPr>
          <w:rFonts w:ascii="Calibri" w:eastAsia="Times New Roman" w:hAnsi="Calibri" w:cs="Times New Roman"/>
          <w:color w:val="000000"/>
          <w:lang w:eastAsia="nl-BE"/>
        </w:rPr>
        <w:t xml:space="preserve">Het is verboden verlichting </w:t>
      </w:r>
      <w:r w:rsidRPr="005863B9">
        <w:rPr>
          <w:rFonts w:ascii="Calibri" w:eastAsia="Times New Roman" w:hAnsi="Calibri" w:cs="Times New Roman"/>
          <w:bCs/>
          <w:color w:val="000000"/>
          <w:lang w:eastAsia="nl-BE"/>
        </w:rPr>
        <w:t xml:space="preserve">(inclusief LED borden) </w:t>
      </w:r>
      <w:r w:rsidRPr="005863B9">
        <w:rPr>
          <w:rFonts w:ascii="Calibri" w:eastAsia="Times New Roman" w:hAnsi="Calibri" w:cs="Times New Roman"/>
          <w:color w:val="000000"/>
          <w:lang w:eastAsia="nl-BE"/>
        </w:rPr>
        <w:t xml:space="preserve">op die wijze te plaatsen of te gebruiken zodat ze hinderlijk kan zijn. </w:t>
      </w:r>
      <w:r w:rsidRPr="005863B9">
        <w:rPr>
          <w:rFonts w:ascii="Calibri" w:eastAsia="Times New Roman" w:hAnsi="Calibri" w:cs="Times New Roman"/>
          <w:bCs/>
          <w:strike/>
          <w:color w:val="000000"/>
          <w:lang w:eastAsia="nl-BE"/>
        </w:rPr>
        <w:t>De verlichting (</w:t>
      </w:r>
      <w:proofErr w:type="spellStart"/>
      <w:r w:rsidRPr="005863B9">
        <w:rPr>
          <w:rFonts w:ascii="Calibri" w:eastAsia="Times New Roman" w:hAnsi="Calibri" w:cs="Times New Roman"/>
          <w:bCs/>
          <w:strike/>
          <w:color w:val="000000"/>
          <w:lang w:eastAsia="nl-BE"/>
        </w:rPr>
        <w:t>incl</w:t>
      </w:r>
      <w:proofErr w:type="spellEnd"/>
      <w:r w:rsidRPr="005863B9">
        <w:rPr>
          <w:rFonts w:ascii="Calibri" w:eastAsia="Times New Roman" w:hAnsi="Calibri" w:cs="Times New Roman"/>
          <w:bCs/>
          <w:strike/>
          <w:color w:val="000000"/>
          <w:lang w:eastAsia="nl-BE"/>
        </w:rPr>
        <w:t xml:space="preserve"> LED borden) is dermate geconcipieerd dat niet-functionele lichtoverdracht naar de omgeving maximaal wordt beperkt</w:t>
      </w:r>
      <w:r w:rsidRPr="005863B9">
        <w:rPr>
          <w:rFonts w:ascii="Calibri" w:eastAsia="Times New Roman" w:hAnsi="Calibri" w:cs="Times New Roman"/>
          <w:b/>
          <w:color w:val="000000"/>
          <w:lang w:eastAsia="nl-BE"/>
        </w:rPr>
        <w:t>.  Niet- functionele lichtoverdracht naar de omgeving is verboden.</w:t>
      </w:r>
      <w:r w:rsidRPr="005863B9">
        <w:rPr>
          <w:rFonts w:ascii="Calibri" w:eastAsia="Times New Roman" w:hAnsi="Calibri" w:cs="Times New Roman"/>
          <w:bCs/>
          <w:color w:val="000000"/>
          <w:lang w:eastAsia="nl-BE"/>
        </w:rPr>
        <w:t xml:space="preserve"> </w:t>
      </w:r>
    </w:p>
    <w:p w14:paraId="5EA01784" w14:textId="77777777" w:rsidR="00E4434B" w:rsidRPr="002E47EB" w:rsidRDefault="00E4434B" w:rsidP="00E4434B">
      <w:pPr>
        <w:spacing w:after="120" w:line="240" w:lineRule="auto"/>
      </w:pPr>
      <w:r w:rsidRPr="005863B9">
        <w:rPr>
          <w:iCs/>
        </w:rPr>
        <w:t xml:space="preserve">Op verzoek van een bevoegd ambtenaar legt de </w:t>
      </w:r>
      <w:r w:rsidRPr="005863B9">
        <w:rPr>
          <w:iCs/>
          <w:strike/>
        </w:rPr>
        <w:t>verantwoordelijke van de verlichting</w:t>
      </w:r>
      <w:r w:rsidRPr="005863B9">
        <w:rPr>
          <w:iCs/>
        </w:rPr>
        <w:t xml:space="preserve"> </w:t>
      </w:r>
      <w:r w:rsidRPr="005863B9">
        <w:rPr>
          <w:b/>
          <w:bCs/>
          <w:iCs/>
        </w:rPr>
        <w:t>eigenaar/bewoner/gebruiker van het pand waaraan de verlichting bevestigd is of op wiens grond de verlichting opgesteld is  en in tweede orde de leverancier,</w:t>
      </w:r>
      <w:r w:rsidRPr="005863B9">
        <w:rPr>
          <w:iCs/>
        </w:rPr>
        <w:t xml:space="preserve"> bewijs van omgevingsvergunning voor (indien van toepassing</w:t>
      </w:r>
      <w:r w:rsidRPr="005863B9">
        <w:rPr>
          <w:b/>
          <w:bCs/>
          <w:iCs/>
        </w:rPr>
        <w:t>). Op verzoek van een bevoegd ambtenaar</w:t>
      </w:r>
      <w:r w:rsidRPr="005863B9">
        <w:rPr>
          <w:iCs/>
        </w:rPr>
        <w:t xml:space="preserve">  wordt de intensiteit van de verlichting onmiddellijk aangepast en/of wordt de verlichting onmiddellijk verplaatst of weggenomen.</w:t>
      </w:r>
    </w:p>
    <w:p w14:paraId="3EB31166" w14:textId="77777777" w:rsidR="00E4434B" w:rsidRPr="007C5605" w:rsidRDefault="00E4434B" w:rsidP="00E4434B">
      <w:pPr>
        <w:rPr>
          <w:i/>
          <w:iCs/>
        </w:rPr>
      </w:pPr>
      <w:r w:rsidRPr="007C5605">
        <w:rPr>
          <w:i/>
          <w:iCs/>
        </w:rPr>
        <w:t>Motivatie</w:t>
      </w:r>
    </w:p>
    <w:p w14:paraId="76AF45DA" w14:textId="77777777" w:rsidR="00E4434B" w:rsidRPr="007C5605" w:rsidRDefault="00E4434B" w:rsidP="00E4434B">
      <w:r w:rsidRPr="007C5605">
        <w:t>Deze verfijning verduidelijkt wie de verantwoordelijke voor de verlichting is.</w:t>
      </w:r>
    </w:p>
    <w:p w14:paraId="3D17A732" w14:textId="77777777" w:rsidR="00E4434B" w:rsidRDefault="00E4434B" w:rsidP="00E4434B">
      <w:pPr>
        <w:jc w:val="both"/>
      </w:pPr>
    </w:p>
    <w:p w14:paraId="4F75EB53" w14:textId="77777777" w:rsidR="00E4434B" w:rsidRDefault="00E4434B" w:rsidP="00E4434B">
      <w:pPr>
        <w:jc w:val="both"/>
      </w:pPr>
    </w:p>
    <w:p w14:paraId="79D1B7E6" w14:textId="77777777" w:rsidR="00E4434B" w:rsidRPr="00F27726" w:rsidRDefault="00E4434B" w:rsidP="00E4434B">
      <w:pPr>
        <w:pStyle w:val="Lijstalinea"/>
        <w:numPr>
          <w:ilvl w:val="0"/>
          <w:numId w:val="1"/>
        </w:numPr>
        <w:autoSpaceDE w:val="0"/>
        <w:autoSpaceDN w:val="0"/>
        <w:spacing w:after="120"/>
        <w:rPr>
          <w:b/>
          <w:bCs/>
          <w:color w:val="000000"/>
          <w:lang w:eastAsia="nl-BE"/>
        </w:rPr>
      </w:pPr>
      <w:r w:rsidRPr="00F27726">
        <w:rPr>
          <w:b/>
          <w:bCs/>
          <w:color w:val="000000"/>
          <w:lang w:eastAsia="nl-BE"/>
        </w:rPr>
        <w:t>Verfijnen Artikel 2.5.14</w:t>
      </w:r>
    </w:p>
    <w:p w14:paraId="7D88F035" w14:textId="77777777" w:rsidR="00E4434B" w:rsidRPr="009919BE" w:rsidRDefault="00E4434B" w:rsidP="00E4434B">
      <w:r>
        <w:t>Het is verboden om schadelijke stoffen als lachgas en aanstekergas te verhandelen en/of te bezitten als de handel en/of het bezit ervan gericht is op een oneigenlijk gebruik van deze gassen met het oog op het opwekken van een roeseffect.</w:t>
      </w:r>
    </w:p>
    <w:p w14:paraId="097412A0" w14:textId="77777777" w:rsidR="00E4434B" w:rsidRPr="008E56A0" w:rsidRDefault="00E4434B" w:rsidP="00E4434B">
      <w:pPr>
        <w:rPr>
          <w:b/>
          <w:bCs/>
        </w:rPr>
      </w:pPr>
      <w:r w:rsidRPr="008E56A0">
        <w:rPr>
          <w:b/>
          <w:bCs/>
        </w:rPr>
        <w:t>Onverminderd de gemeentelijke administratieve sancties en maatregelen zoals voorzien in dit reglement, kan de politie bij inbreuken op het eerste lid de schadelijke middelen in beslag nemen. De kosten van inbeslagname en vernietiging kunnen verhaald worden op de overtreder.</w:t>
      </w:r>
    </w:p>
    <w:p w14:paraId="44FB30DB" w14:textId="77777777" w:rsidR="00E4434B" w:rsidRPr="00F27726" w:rsidRDefault="00E4434B" w:rsidP="00E4434B">
      <w:pPr>
        <w:rPr>
          <w:i/>
          <w:iCs/>
        </w:rPr>
      </w:pPr>
      <w:r w:rsidRPr="00F27726">
        <w:rPr>
          <w:i/>
          <w:iCs/>
        </w:rPr>
        <w:t>Motivatie</w:t>
      </w:r>
    </w:p>
    <w:p w14:paraId="738E2C41" w14:textId="4724E6D3" w:rsidR="00E4434B" w:rsidRDefault="00E4434B" w:rsidP="00E4434B">
      <w:r>
        <w:t>Hierbij wordt een kader geboden om aangetroffen lachgas in beslag te nemen en de kosten hiervan terug te vorderen aan de overtreder.</w:t>
      </w:r>
    </w:p>
    <w:p w14:paraId="6DB80D15" w14:textId="48DAD610" w:rsidR="003C0B79" w:rsidRDefault="003C0B79" w:rsidP="00E4434B"/>
    <w:p w14:paraId="4B8CFE04" w14:textId="77777777" w:rsidR="003C0B79" w:rsidRPr="002A49B3" w:rsidRDefault="003C0B79" w:rsidP="003C0B79">
      <w:pPr>
        <w:rPr>
          <w:b/>
          <w:bCs/>
          <w:sz w:val="32"/>
          <w:szCs w:val="32"/>
        </w:rPr>
      </w:pPr>
      <w:r w:rsidRPr="002A49B3">
        <w:rPr>
          <w:b/>
          <w:bCs/>
          <w:sz w:val="32"/>
          <w:szCs w:val="32"/>
        </w:rPr>
        <w:t>Specifiek deel Hooglede</w:t>
      </w:r>
    </w:p>
    <w:p w14:paraId="7AF9CABF" w14:textId="77777777" w:rsidR="003C0B79" w:rsidRDefault="003C0B79" w:rsidP="003C0B79">
      <w:r>
        <w:t>Hoofdstuk 5: aanbieden van afval</w:t>
      </w:r>
    </w:p>
    <w:p w14:paraId="5BE405C9" w14:textId="77777777" w:rsidR="003C0B79" w:rsidRDefault="003C0B79" w:rsidP="003C0B79">
      <w:r>
        <w:rPr>
          <w:u w:val="single"/>
        </w:rPr>
        <w:t>Hoofdstuk 1: algemene bepalingen</w:t>
      </w:r>
    </w:p>
    <w:p w14:paraId="55BEC85C" w14:textId="77777777" w:rsidR="003C0B79" w:rsidRDefault="003C0B79" w:rsidP="003C0B79">
      <w:r>
        <w:t>Art 1.2.1</w:t>
      </w:r>
    </w:p>
    <w:p w14:paraId="1319512F" w14:textId="77777777" w:rsidR="003C0B79" w:rsidRPr="00D30E92" w:rsidRDefault="003C0B79" w:rsidP="003C0B79">
      <w:r>
        <w:t xml:space="preserve">§ 3. Behoudens schriftelijke toelating van de burgemeester is het voor iedereen verboden om </w:t>
      </w:r>
      <w:proofErr w:type="spellStart"/>
      <w:r>
        <w:t>om</w:t>
      </w:r>
      <w:proofErr w:type="spellEnd"/>
      <w:r>
        <w:t xml:space="preserve"> het even welke aangeboden afvalstof mee te nemen. Alleen de ophalers, daartoe aangewezen door de burgemeester of door MIROM en het bevoegd personeel in uitoefening van de functie, zijn gerechtigd om afvalstoffen in te zamelen.</w:t>
      </w:r>
      <w:r w:rsidRPr="00F51D51">
        <w:rPr>
          <w:b/>
          <w:bCs/>
        </w:rPr>
        <w:t xml:space="preserve"> Alleen de geregistreerde inzamelaars, afvalstoffenhandelaars en -makelaars, daartoe aangewezen bij deze verordening of door het college va burgemeester en schepenen of door MIROM Roeselare, zijn gerechtigd om huishoudelijke afvalstoffen in te zamelen.</w:t>
      </w:r>
    </w:p>
    <w:p w14:paraId="4D4C30CB" w14:textId="77777777" w:rsidR="003C0B79" w:rsidRDefault="003C0B79" w:rsidP="003C0B79">
      <w:r>
        <w:t> </w:t>
      </w:r>
    </w:p>
    <w:p w14:paraId="7EF8C8D7" w14:textId="77777777" w:rsidR="003C0B79" w:rsidRDefault="003C0B79" w:rsidP="003C0B79">
      <w:r>
        <w:rPr>
          <w:b/>
          <w:bCs/>
        </w:rPr>
        <w:t>Nieuw</w:t>
      </w:r>
    </w:p>
    <w:p w14:paraId="293DCBEE" w14:textId="77777777" w:rsidR="003C0B79" w:rsidRPr="00F51D51" w:rsidRDefault="003C0B79" w:rsidP="003C0B79">
      <w:pPr>
        <w:rPr>
          <w:b/>
          <w:bCs/>
        </w:rPr>
      </w:pPr>
      <w:r w:rsidRPr="00F51D51">
        <w:rPr>
          <w:b/>
          <w:bCs/>
        </w:rPr>
        <w:t xml:space="preserve">§11. Het is voor iedereen verboden om het even welke huishoudelijke afvalstof af te geven of voor inzameling aan te bieden aan andere geregistreerde inzamelaars, afvalstoffenhandelaars en –makelaars dan deze daartoe aangewezen bij dit reglement of door het college van burgemeester en schepenen of door MIROM Roeselare.  </w:t>
      </w:r>
    </w:p>
    <w:p w14:paraId="42C52B9F" w14:textId="77777777" w:rsidR="003C0B79" w:rsidRDefault="003C0B79" w:rsidP="003C0B79">
      <w:r>
        <w:t> </w:t>
      </w:r>
    </w:p>
    <w:p w14:paraId="21275B84" w14:textId="77777777" w:rsidR="003C0B79" w:rsidRDefault="003C0B79" w:rsidP="003C0B79">
      <w:r>
        <w:rPr>
          <w:u w:val="single"/>
        </w:rPr>
        <w:t>Hoofdstuk 7 - Selectieve inzameling van textielafval.</w:t>
      </w:r>
    </w:p>
    <w:p w14:paraId="7DEE87E1" w14:textId="77777777" w:rsidR="003C0B79" w:rsidRDefault="003C0B79" w:rsidP="003C0B79">
      <w:r>
        <w:t>Afdeling 1 - Inzameling</w:t>
      </w:r>
    </w:p>
    <w:p w14:paraId="42DFB408" w14:textId="77777777" w:rsidR="003C0B79" w:rsidRDefault="003C0B79" w:rsidP="003C0B79">
      <w:r>
        <w:t>Artikel 7.1.1.</w:t>
      </w:r>
    </w:p>
    <w:p w14:paraId="1B0A62F6" w14:textId="77777777" w:rsidR="003C0B79" w:rsidRDefault="003C0B79" w:rsidP="003C0B79">
      <w:r>
        <w:t xml:space="preserve">§ 1.    Het textielafval wordt ingezameld in de textielcontainers die verspreid staan opgesteld in de gemeente en op het recyclagepark. Het kan eveneens huis-aan-huis worden ingezameld langs de straten, wegen en pleinen waar de omhaling is ingericht, op de door het college van burgemeester en schepenen bepaalde dagen. Alleen de organisaties die toelating hebben van het college van </w:t>
      </w:r>
      <w:r>
        <w:lastRenderedPageBreak/>
        <w:t>burgemeester en schepenen zijn gemachtigd textielcontainers te plaatsen, respectievelijk huis-aan-huisinzameling te organiseren.</w:t>
      </w:r>
    </w:p>
    <w:p w14:paraId="788338DA" w14:textId="77777777" w:rsidR="003C0B79" w:rsidRDefault="003C0B79" w:rsidP="003C0B79">
      <w:r>
        <w:t xml:space="preserve">§ 2.    Het textielafval mag niet worden meegegeven met het klein restafval, het grofvuil of een selectieve omhaling, andere dan deze van het textielafval. </w:t>
      </w:r>
    </w:p>
    <w:p w14:paraId="5D28F9F5" w14:textId="77777777" w:rsidR="003C0B79" w:rsidRDefault="003C0B79" w:rsidP="003C0B79">
      <w:r>
        <w:t>Afdeling 2 - Wijze van aanbieding</w:t>
      </w:r>
    </w:p>
    <w:p w14:paraId="080A021A" w14:textId="77777777" w:rsidR="003C0B79" w:rsidRDefault="003C0B79" w:rsidP="003C0B79">
      <w:r>
        <w:t>Artikel 7.2.1.</w:t>
      </w:r>
    </w:p>
    <w:p w14:paraId="02FF479C" w14:textId="77777777" w:rsidR="003C0B79" w:rsidRDefault="003C0B79" w:rsidP="003C0B79">
      <w:r>
        <w:t>§ 1.Het textielafval moet worden gedeponeerd in speciaal daartoe op bepaalde plaatsen voorziene textielcontainers.</w:t>
      </w:r>
    </w:p>
    <w:p w14:paraId="166AECF0" w14:textId="77777777" w:rsidR="003C0B79" w:rsidRDefault="003C0B79" w:rsidP="003C0B79">
      <w:r>
        <w:t>§ 2. Het is verboden om naast de textielcontainers lege of volle dozen, kratten, zakken of andere voorwerpen achter te laten, ook al is de container volledig gevuld. Dit wordt beschouwd als sluikstorten.</w:t>
      </w:r>
    </w:p>
    <w:p w14:paraId="1F106EAF" w14:textId="77777777" w:rsidR="003C0B79" w:rsidRDefault="003C0B79" w:rsidP="003C0B79">
      <w:r>
        <w:t xml:space="preserve">§ 3.Bij de selectieve omhaling van textielafval dient het textiel zorgvuldig in een afgesloten </w:t>
      </w:r>
      <w:proofErr w:type="spellStart"/>
      <w:r>
        <w:t>recipiënt</w:t>
      </w:r>
      <w:proofErr w:type="spellEnd"/>
      <w:r>
        <w:t xml:space="preserve"> te worden aangeboden.</w:t>
      </w:r>
    </w:p>
    <w:p w14:paraId="54730298" w14:textId="77777777" w:rsidR="003C0B79" w:rsidRDefault="003C0B79" w:rsidP="003C0B79">
      <w:r>
        <w:rPr>
          <w:b/>
          <w:bCs/>
        </w:rPr>
        <w:t>Wordt vervangen door:</w:t>
      </w:r>
    </w:p>
    <w:p w14:paraId="5B3764F2" w14:textId="77777777" w:rsidR="003C0B79" w:rsidRPr="0068489B" w:rsidRDefault="003C0B79" w:rsidP="003C0B79">
      <w:pPr>
        <w:rPr>
          <w:b/>
          <w:bCs/>
        </w:rPr>
      </w:pPr>
      <w:r w:rsidRPr="0068489B">
        <w:rPr>
          <w:b/>
          <w:bCs/>
        </w:rPr>
        <w:t>Afdeling 1 – Definitie</w:t>
      </w:r>
    </w:p>
    <w:p w14:paraId="77288F0C" w14:textId="77777777" w:rsidR="003C0B79" w:rsidRPr="0068489B" w:rsidRDefault="003C0B79" w:rsidP="003C0B79">
      <w:pPr>
        <w:rPr>
          <w:b/>
          <w:bCs/>
        </w:rPr>
      </w:pPr>
      <w:r w:rsidRPr="0068489B">
        <w:rPr>
          <w:b/>
          <w:bCs/>
        </w:rPr>
        <w:t>Artikel 7.1.1.</w:t>
      </w:r>
    </w:p>
    <w:p w14:paraId="6A04B837" w14:textId="77777777" w:rsidR="003C0B79" w:rsidRPr="0068489B" w:rsidRDefault="003C0B79" w:rsidP="003C0B79">
      <w:pPr>
        <w:rPr>
          <w:b/>
          <w:bCs/>
        </w:rPr>
      </w:pPr>
      <w:r w:rsidRPr="0068489B">
        <w:rPr>
          <w:b/>
          <w:bCs/>
        </w:rPr>
        <w:t>§1. Voor de toepassing van deze verordening wordt onder textielafval verstaan: alle herbruikbare en recycleerbare kledij voor dames, heren en kinderen, lederwaren, schoenen, handtassen, beddengoed, woningtextiel (gordijnen, overgordijnen, tafelkleden, servetten, handdoeken), lompen, e.d., die ontstaan door de normale werking van een particuliere huishouding (en een vergelijkbare bedrijfsactiviteit).</w:t>
      </w:r>
    </w:p>
    <w:p w14:paraId="521C15BC" w14:textId="77777777" w:rsidR="003C0B79" w:rsidRPr="0068489B" w:rsidRDefault="003C0B79" w:rsidP="003C0B79">
      <w:pPr>
        <w:rPr>
          <w:b/>
          <w:bCs/>
        </w:rPr>
      </w:pPr>
      <w:r w:rsidRPr="0068489B">
        <w:rPr>
          <w:b/>
          <w:bCs/>
        </w:rPr>
        <w:t>Afdeling 2 — Inzameling</w:t>
      </w:r>
    </w:p>
    <w:p w14:paraId="1A7A9B86" w14:textId="77777777" w:rsidR="003C0B79" w:rsidRPr="0068489B" w:rsidRDefault="003C0B79" w:rsidP="003C0B79">
      <w:pPr>
        <w:rPr>
          <w:b/>
          <w:bCs/>
        </w:rPr>
      </w:pPr>
      <w:r w:rsidRPr="0068489B">
        <w:rPr>
          <w:b/>
          <w:bCs/>
        </w:rPr>
        <w:t>Artikel 7.2.1.</w:t>
      </w:r>
    </w:p>
    <w:p w14:paraId="6CAD2F6E" w14:textId="77777777" w:rsidR="003C0B79" w:rsidRPr="0068489B" w:rsidRDefault="003C0B79" w:rsidP="003C0B79">
      <w:pPr>
        <w:rPr>
          <w:b/>
          <w:bCs/>
        </w:rPr>
      </w:pPr>
      <w:r w:rsidRPr="0068489B">
        <w:rPr>
          <w:b/>
          <w:bCs/>
        </w:rPr>
        <w:t xml:space="preserve">§1.De inzameling van textielafval wordt uitsluitend georganiseerd door de </w:t>
      </w:r>
      <w:proofErr w:type="spellStart"/>
      <w:r w:rsidRPr="0068489B">
        <w:rPr>
          <w:b/>
          <w:bCs/>
        </w:rPr>
        <w:t>opdrachthoudende</w:t>
      </w:r>
      <w:proofErr w:type="spellEnd"/>
      <w:r w:rsidRPr="0068489B">
        <w:rPr>
          <w:b/>
          <w:bCs/>
        </w:rPr>
        <w:t xml:space="preserve"> vereniging MIROM Roeselare of door de door haar aangewezen instellingen. Enkel de geregistreerde inzamelaars, handelaars en makelaars van textielafvalstoffen die toelating krijgen van MIROM Roeselare zijn gemachtigd om textielcontainers te plaatsen.</w:t>
      </w:r>
    </w:p>
    <w:p w14:paraId="4B01814D" w14:textId="7A0C2B05" w:rsidR="003C0B79" w:rsidRPr="0068489B" w:rsidRDefault="003C0B79" w:rsidP="003C0B79">
      <w:pPr>
        <w:rPr>
          <w:b/>
          <w:bCs/>
        </w:rPr>
      </w:pPr>
      <w:r w:rsidRPr="0068489B">
        <w:rPr>
          <w:b/>
          <w:bCs/>
        </w:rPr>
        <w:t xml:space="preserve">§2. De inzameling van textielafval geschiedt uitsluitend in de door de </w:t>
      </w:r>
      <w:proofErr w:type="spellStart"/>
      <w:r w:rsidRPr="0068489B">
        <w:rPr>
          <w:b/>
          <w:bCs/>
        </w:rPr>
        <w:t>opdrachthoudende</w:t>
      </w:r>
      <w:proofErr w:type="spellEnd"/>
      <w:r w:rsidRPr="0068489B">
        <w:rPr>
          <w:b/>
          <w:bCs/>
        </w:rPr>
        <w:t xml:space="preserve"> vereniging MIROM Roeselare opgestelde of toegelaten textielcontainers. Deze containers staan opgesteld in de gemeente</w:t>
      </w:r>
      <w:r w:rsidR="005C1DD2" w:rsidRPr="005C1DD2">
        <w:rPr>
          <w:b/>
          <w:bCs/>
        </w:rPr>
        <w:t>.</w:t>
      </w:r>
    </w:p>
    <w:p w14:paraId="13CA4802" w14:textId="77777777" w:rsidR="003C0B79" w:rsidRPr="0068489B" w:rsidRDefault="003C0B79" w:rsidP="003C0B79">
      <w:pPr>
        <w:rPr>
          <w:b/>
          <w:bCs/>
        </w:rPr>
      </w:pPr>
      <w:r w:rsidRPr="0068489B">
        <w:rPr>
          <w:b/>
          <w:bCs/>
        </w:rPr>
        <w:t>§3. Het is verboden om textielafval aan te bieden met het restafval of enige andere huis-aan-huis inzameling van selectief ingezamelde afvalstoffen.</w:t>
      </w:r>
    </w:p>
    <w:p w14:paraId="523930D1" w14:textId="77777777" w:rsidR="003C0B79" w:rsidRPr="0068489B" w:rsidRDefault="003C0B79" w:rsidP="003C0B79">
      <w:pPr>
        <w:rPr>
          <w:b/>
          <w:bCs/>
        </w:rPr>
      </w:pPr>
      <w:r w:rsidRPr="0068489B">
        <w:rPr>
          <w:b/>
          <w:bCs/>
        </w:rPr>
        <w:t>§4. De huis-aan-huis inzameling van textiel is enkel toegelaten voor de door MIROM Roeselare of het College van Burgemeester en Schepenen aangewezen inzamelaars, verenigingen of scholen.</w:t>
      </w:r>
    </w:p>
    <w:p w14:paraId="7712B5B0" w14:textId="77777777" w:rsidR="003C0B79" w:rsidRPr="0068489B" w:rsidRDefault="003C0B79" w:rsidP="003C0B79">
      <w:pPr>
        <w:rPr>
          <w:b/>
          <w:bCs/>
        </w:rPr>
      </w:pPr>
      <w:r w:rsidRPr="0068489B">
        <w:rPr>
          <w:b/>
          <w:bCs/>
        </w:rPr>
        <w:t>Afdeling 3 — Wijze van aanbieding</w:t>
      </w:r>
    </w:p>
    <w:p w14:paraId="23D11321" w14:textId="77777777" w:rsidR="003C0B79" w:rsidRPr="0068489B" w:rsidRDefault="003C0B79" w:rsidP="003C0B79">
      <w:pPr>
        <w:rPr>
          <w:b/>
          <w:bCs/>
        </w:rPr>
      </w:pPr>
      <w:r w:rsidRPr="0068489B">
        <w:rPr>
          <w:b/>
          <w:bCs/>
        </w:rPr>
        <w:t>Artikel 7.3.1</w:t>
      </w:r>
    </w:p>
    <w:p w14:paraId="26D7ABF0" w14:textId="77777777" w:rsidR="003C0B79" w:rsidRPr="0068489B" w:rsidRDefault="003C0B79" w:rsidP="003C0B79">
      <w:pPr>
        <w:rPr>
          <w:b/>
          <w:bCs/>
        </w:rPr>
      </w:pPr>
      <w:r w:rsidRPr="0068489B">
        <w:rPr>
          <w:b/>
          <w:bCs/>
        </w:rPr>
        <w:lastRenderedPageBreak/>
        <w:t xml:space="preserve">§1. Het textiel dient bij het deponeren in een container in een degelijke en goed gesloten zak verpakt te zijn. Het aangeboden textiel mag niet nat of besmeurd zijn. Het is verboden om textielafval in de textielcontainers te deponeren tussen 21u en 7u. </w:t>
      </w:r>
    </w:p>
    <w:p w14:paraId="3AEBCC96" w14:textId="2D6A5E39" w:rsidR="003C0B79" w:rsidRDefault="003C0B79" w:rsidP="003C0B79">
      <w:pPr>
        <w:rPr>
          <w:b/>
          <w:bCs/>
        </w:rPr>
      </w:pPr>
      <w:r w:rsidRPr="0068489B">
        <w:rPr>
          <w:b/>
          <w:bCs/>
        </w:rPr>
        <w:t>§2. Het is verboden om naast de textielcontainers lege of volle dozen, kratten, zakken of andere voorwerpen achter te laten, ook al is de container volledig gevuld</w:t>
      </w:r>
    </w:p>
    <w:p w14:paraId="64AD79C3" w14:textId="6E250B7F" w:rsidR="003C0B79" w:rsidRDefault="003C0B79" w:rsidP="003C0B79">
      <w:pPr>
        <w:rPr>
          <w:b/>
          <w:bCs/>
        </w:rPr>
      </w:pPr>
    </w:p>
    <w:p w14:paraId="1CEE0D02" w14:textId="77777777" w:rsidR="003C0B79" w:rsidRDefault="003C0B79" w:rsidP="003C0B79">
      <w:pPr>
        <w:rPr>
          <w:i/>
          <w:iCs/>
        </w:rPr>
      </w:pPr>
      <w:r w:rsidRPr="003C0B79">
        <w:rPr>
          <w:i/>
          <w:iCs/>
        </w:rPr>
        <w:t>Motivatie</w:t>
      </w:r>
    </w:p>
    <w:p w14:paraId="771EF583" w14:textId="6F23D5C9" w:rsidR="003C0B79" w:rsidRDefault="003C0B79" w:rsidP="003C0B79">
      <w:r w:rsidRPr="003C0B79">
        <w:t>Wijzigingen op vraag van MIROM</w:t>
      </w:r>
      <w:r>
        <w:t>.</w:t>
      </w:r>
    </w:p>
    <w:p w14:paraId="4CCD658C" w14:textId="7EBD8A7E" w:rsidR="003C0B79" w:rsidRDefault="003C0B79" w:rsidP="003C0B79"/>
    <w:p w14:paraId="30318DF2" w14:textId="35666D62" w:rsidR="007B53D2" w:rsidRDefault="007B53D2" w:rsidP="007B53D2">
      <w:pPr>
        <w:rPr>
          <w:b/>
          <w:bCs/>
        </w:rPr>
      </w:pPr>
      <w:r>
        <w:rPr>
          <w:b/>
          <w:bCs/>
        </w:rPr>
        <w:t xml:space="preserve">HOOFDSTUK 9: Brandveiligheid in de voor het publiek toegankelijke gebouwen, lokalen en </w:t>
      </w:r>
      <w:commentRangeStart w:id="1"/>
      <w:r>
        <w:rPr>
          <w:b/>
          <w:bCs/>
        </w:rPr>
        <w:t>plaatsen</w:t>
      </w:r>
      <w:commentRangeEnd w:id="1"/>
      <w:r>
        <w:rPr>
          <w:rStyle w:val="Verwijzingopmerking"/>
          <w:rFonts w:ascii="Calibri" w:hAnsi="Calibri" w:cs="Calibri"/>
        </w:rPr>
        <w:commentReference w:id="1"/>
      </w:r>
    </w:p>
    <w:p w14:paraId="781F5B19" w14:textId="44EACF19" w:rsidR="007B53D2" w:rsidRDefault="007B53D2" w:rsidP="007B53D2">
      <w:pPr>
        <w:rPr>
          <w:b/>
          <w:bCs/>
          <w:color w:val="000000"/>
          <w:sz w:val="24"/>
          <w:szCs w:val="24"/>
          <w:lang w:eastAsia="nl-BE"/>
        </w:rPr>
      </w:pPr>
      <w:r>
        <w:rPr>
          <w:b/>
          <w:bCs/>
          <w:color w:val="000000"/>
          <w:sz w:val="24"/>
          <w:szCs w:val="24"/>
          <w:lang w:eastAsia="nl-BE"/>
        </w:rPr>
        <w:t xml:space="preserve">Wijziging Artikel 9.8  </w:t>
      </w:r>
    </w:p>
    <w:p w14:paraId="65F6B448" w14:textId="5B6673DB" w:rsidR="007B53D2" w:rsidRDefault="007B53D2" w:rsidP="007B53D2">
      <w:pPr>
        <w:rPr>
          <w:color w:val="000000"/>
          <w:szCs w:val="24"/>
          <w:lang w:eastAsia="nl-BE"/>
        </w:rPr>
      </w:pPr>
      <w:r w:rsidRPr="008F189D">
        <w:rPr>
          <w:color w:val="000000"/>
          <w:szCs w:val="24"/>
          <w:lang w:eastAsia="nl-BE"/>
        </w:rPr>
        <w:t xml:space="preserve">- Alle deuren die gelegen zijn in de evacuatiewegen kunnen gemakkelijk geopend worden, en </w:t>
      </w:r>
      <w:r w:rsidRPr="008F189D">
        <w:rPr>
          <w:color w:val="000000"/>
          <w:lang w:eastAsia="nl-BE"/>
        </w:rPr>
        <w:br/>
      </w:r>
      <w:r w:rsidRPr="008F189D">
        <w:rPr>
          <w:color w:val="000000"/>
          <w:szCs w:val="24"/>
          <w:lang w:eastAsia="nl-BE"/>
        </w:rPr>
        <w:t xml:space="preserve">draaien open in de richting van de uitgang. </w:t>
      </w:r>
      <w:r w:rsidRPr="008F189D">
        <w:rPr>
          <w:color w:val="000000"/>
          <w:lang w:eastAsia="nl-BE"/>
        </w:rPr>
        <w:br/>
      </w:r>
      <w:r w:rsidRPr="008F189D">
        <w:rPr>
          <w:color w:val="000000"/>
          <w:szCs w:val="24"/>
          <w:lang w:eastAsia="nl-BE"/>
        </w:rPr>
        <w:t xml:space="preserve">- De deuren die rechtstreeks op de openbare weg uitgeven mogen niet buiten de rooilijn komen. </w:t>
      </w:r>
      <w:r w:rsidRPr="008F189D">
        <w:rPr>
          <w:b/>
          <w:szCs w:val="24"/>
          <w:lang w:eastAsia="nl-BE"/>
        </w:rPr>
        <w:t>In functie van de bezetting en configuratie van de lokalen kan er opgelegd worden dat de deur(en) in de vluchtrichting moeten openen. </w:t>
      </w:r>
      <w:r w:rsidRPr="008F189D">
        <w:rPr>
          <w:b/>
          <w:lang w:eastAsia="nl-BE"/>
        </w:rPr>
        <w:br/>
      </w:r>
      <w:r w:rsidRPr="008F189D">
        <w:rPr>
          <w:b/>
          <w:szCs w:val="24"/>
          <w:lang w:eastAsia="nl-BE"/>
        </w:rPr>
        <w:t xml:space="preserve">  </w:t>
      </w:r>
      <w:r w:rsidRPr="008F189D">
        <w:rPr>
          <w:b/>
          <w:strike/>
          <w:szCs w:val="24"/>
          <w:lang w:eastAsia="nl-BE"/>
        </w:rPr>
        <w:t xml:space="preserve">Indien deze deuren noodzakelijkerwijs naar binnen draaien, moeten zij openslaan tegen een   </w:t>
      </w:r>
      <w:r w:rsidRPr="008F189D">
        <w:rPr>
          <w:b/>
          <w:strike/>
          <w:lang w:eastAsia="nl-BE"/>
        </w:rPr>
        <w:br/>
      </w:r>
      <w:r w:rsidRPr="008F189D">
        <w:rPr>
          <w:b/>
          <w:strike/>
          <w:szCs w:val="24"/>
          <w:lang w:eastAsia="nl-BE"/>
        </w:rPr>
        <w:t xml:space="preserve">  vast gedeelte van het gebouw en er stevig aan bevestigd worden. Gedurende de openingsuren </w:t>
      </w:r>
      <w:r w:rsidRPr="008F189D">
        <w:rPr>
          <w:b/>
          <w:strike/>
          <w:lang w:eastAsia="nl-BE"/>
        </w:rPr>
        <w:br/>
      </w:r>
      <w:r w:rsidRPr="008F189D">
        <w:rPr>
          <w:b/>
          <w:strike/>
          <w:szCs w:val="24"/>
          <w:lang w:eastAsia="nl-BE"/>
        </w:rPr>
        <w:t>  zijn deze deuren in geopende stand vastgezet.</w:t>
      </w:r>
      <w:r w:rsidRPr="008F189D">
        <w:rPr>
          <w:color w:val="1F497D"/>
          <w:szCs w:val="24"/>
          <w:lang w:eastAsia="nl-BE"/>
        </w:rPr>
        <w:br/>
      </w:r>
      <w:r w:rsidRPr="008F189D">
        <w:rPr>
          <w:color w:val="000000"/>
          <w:szCs w:val="24"/>
          <w:lang w:eastAsia="nl-BE"/>
        </w:rPr>
        <w:t xml:space="preserve">- Draaideuren of draaipaaltjes zijn als uitgang niet toegelaten. </w:t>
      </w:r>
      <w:r w:rsidRPr="008F189D">
        <w:rPr>
          <w:color w:val="000000"/>
          <w:lang w:eastAsia="nl-BE"/>
        </w:rPr>
        <w:br/>
      </w:r>
      <w:r w:rsidRPr="008F189D">
        <w:rPr>
          <w:color w:val="000000"/>
          <w:szCs w:val="24"/>
          <w:lang w:eastAsia="nl-BE"/>
        </w:rPr>
        <w:t xml:space="preserve">- De vleugels van glazen deuren dragen een merkteken dat volstaat om zich rekenschap te </w:t>
      </w:r>
      <w:r w:rsidRPr="008F189D">
        <w:rPr>
          <w:color w:val="000000"/>
          <w:lang w:eastAsia="nl-BE"/>
        </w:rPr>
        <w:br/>
      </w:r>
      <w:r w:rsidRPr="008F189D">
        <w:rPr>
          <w:color w:val="000000"/>
          <w:szCs w:val="24"/>
          <w:lang w:eastAsia="nl-BE"/>
        </w:rPr>
        <w:t xml:space="preserve">  geven van hun aanwezigheid. </w:t>
      </w:r>
      <w:r w:rsidRPr="008F189D">
        <w:rPr>
          <w:color w:val="000000"/>
          <w:lang w:eastAsia="nl-BE"/>
        </w:rPr>
        <w:br/>
      </w:r>
      <w:r w:rsidRPr="008F189D">
        <w:rPr>
          <w:color w:val="000000"/>
          <w:szCs w:val="24"/>
          <w:lang w:eastAsia="nl-BE"/>
        </w:rPr>
        <w:t xml:space="preserve">- Elke deur met automatische sluitinrichting die niet gemakkelijk met de hand kan worden </w:t>
      </w:r>
      <w:r w:rsidRPr="008F189D">
        <w:rPr>
          <w:color w:val="000000"/>
          <w:lang w:eastAsia="nl-BE"/>
        </w:rPr>
        <w:br/>
      </w:r>
      <w:r w:rsidRPr="008F189D">
        <w:rPr>
          <w:color w:val="000000"/>
          <w:szCs w:val="24"/>
          <w:lang w:eastAsia="nl-BE"/>
        </w:rPr>
        <w:t xml:space="preserve">  geopend, moet uitgerust zijn met een veiligheidsapparaat dat de deur automatisch op volle </w:t>
      </w:r>
      <w:r w:rsidRPr="008F189D">
        <w:rPr>
          <w:color w:val="000000"/>
          <w:lang w:eastAsia="nl-BE"/>
        </w:rPr>
        <w:br/>
      </w:r>
      <w:r w:rsidRPr="008F189D">
        <w:rPr>
          <w:color w:val="000000"/>
          <w:szCs w:val="24"/>
          <w:lang w:eastAsia="nl-BE"/>
        </w:rPr>
        <w:t xml:space="preserve">  breedte opent wanneer de energiebron die de deur in werking stelt, uitvalt. </w:t>
      </w:r>
      <w:r w:rsidRPr="008F189D">
        <w:rPr>
          <w:color w:val="000000"/>
          <w:lang w:eastAsia="nl-BE"/>
        </w:rPr>
        <w:br/>
      </w:r>
      <w:r w:rsidRPr="008F189D">
        <w:rPr>
          <w:color w:val="000000"/>
          <w:szCs w:val="24"/>
          <w:lang w:eastAsia="nl-BE"/>
        </w:rPr>
        <w:t>- Automatische schuifdeuren zijn slechts toegelaten voor uitgangen die rechtstreeks naar buiten   uitgeven. Deze bepaling geldt niet voor branddeuren en liftdeuren. </w:t>
      </w:r>
    </w:p>
    <w:p w14:paraId="04778057" w14:textId="39B314E0" w:rsidR="007B53D2" w:rsidRPr="007B53D2" w:rsidRDefault="007B53D2" w:rsidP="007B53D2">
      <w:pPr>
        <w:rPr>
          <w:i/>
          <w:iCs/>
          <w:color w:val="000000"/>
          <w:szCs w:val="24"/>
          <w:lang w:eastAsia="nl-BE"/>
        </w:rPr>
      </w:pPr>
      <w:r w:rsidRPr="007B53D2">
        <w:rPr>
          <w:i/>
          <w:iCs/>
          <w:color w:val="000000"/>
          <w:szCs w:val="24"/>
          <w:lang w:eastAsia="nl-BE"/>
        </w:rPr>
        <w:t>Motivatie</w:t>
      </w:r>
    </w:p>
    <w:p w14:paraId="2634B92E" w14:textId="43E4220C" w:rsidR="007B53D2" w:rsidRDefault="007B53D2" w:rsidP="007B53D2">
      <w:pPr>
        <w:rPr>
          <w:color w:val="000000"/>
          <w:szCs w:val="24"/>
          <w:lang w:eastAsia="nl-BE"/>
        </w:rPr>
      </w:pPr>
      <w:r>
        <w:rPr>
          <w:color w:val="000000"/>
          <w:szCs w:val="24"/>
          <w:lang w:eastAsia="nl-BE"/>
        </w:rPr>
        <w:t xml:space="preserve">Wijziging gevraagd door brandweerzone MIDWEST met oog op meer maatwerk. </w:t>
      </w:r>
    </w:p>
    <w:p w14:paraId="7E559C9F" w14:textId="77777777" w:rsidR="007B53D2" w:rsidRDefault="007B53D2" w:rsidP="007B53D2">
      <w:pPr>
        <w:rPr>
          <w:color w:val="000000"/>
          <w:szCs w:val="24"/>
          <w:lang w:eastAsia="nl-BE"/>
        </w:rPr>
      </w:pPr>
    </w:p>
    <w:p w14:paraId="4876ED6C" w14:textId="77777777" w:rsidR="003C0B79" w:rsidRPr="003C0B79" w:rsidRDefault="003C0B79" w:rsidP="003C0B79"/>
    <w:p w14:paraId="0E531256" w14:textId="77777777" w:rsidR="003C0B79" w:rsidRPr="008D1540" w:rsidRDefault="003C0B79" w:rsidP="00E4434B"/>
    <w:p w14:paraId="3044ACA1" w14:textId="77777777" w:rsidR="00E4434B" w:rsidRDefault="00E4434B" w:rsidP="00E4434B"/>
    <w:p w14:paraId="6873C8F4" w14:textId="77777777" w:rsidR="004C1577" w:rsidRDefault="004C1577"/>
    <w:sectPr w:rsidR="004C1577">
      <w:footerReference w:type="default" r:id="rId11"/>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Verduyn Tineke (PZ RIHo)" w:date="2021-11-30T10:14:00Z" w:initials="VT(R">
    <w:p w14:paraId="446F2511" w14:textId="77777777" w:rsidR="007B53D2" w:rsidRDefault="007B53D2" w:rsidP="007B53D2">
      <w:pPr>
        <w:pStyle w:val="Tekstopmerking"/>
      </w:pPr>
      <w:r>
        <w:rPr>
          <w:rStyle w:val="Verwijzingopmerking"/>
        </w:rPr>
        <w:annotationRef/>
      </w:r>
      <w:r>
        <w:t>Is uniform in Roeselare, Izegem en Hooglede. Omwille van de techniciteit van de bepalingen werd dit opgenomen in het specifieke gedeelte.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46F25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0781D" w16cex:dateUtc="2021-11-30T0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46F2511" w16cid:durableId="255078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991AB" w14:textId="77777777" w:rsidR="00FA3136" w:rsidRDefault="00FA3136" w:rsidP="0024521E">
      <w:pPr>
        <w:spacing w:after="0" w:line="240" w:lineRule="auto"/>
      </w:pPr>
      <w:r>
        <w:separator/>
      </w:r>
    </w:p>
  </w:endnote>
  <w:endnote w:type="continuationSeparator" w:id="0">
    <w:p w14:paraId="0E6C7A25" w14:textId="77777777" w:rsidR="00FA3136" w:rsidRDefault="00FA3136" w:rsidP="00245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7549893"/>
      <w:docPartObj>
        <w:docPartGallery w:val="Page Numbers (Bottom of Page)"/>
        <w:docPartUnique/>
      </w:docPartObj>
    </w:sdtPr>
    <w:sdtContent>
      <w:p w14:paraId="4B085877" w14:textId="3DBFAEB2" w:rsidR="0024521E" w:rsidRDefault="0024521E">
        <w:pPr>
          <w:pStyle w:val="Voettekst"/>
          <w:jc w:val="right"/>
        </w:pPr>
        <w:r>
          <w:fldChar w:fldCharType="begin"/>
        </w:r>
        <w:r>
          <w:instrText>PAGE   \* MERGEFORMAT</w:instrText>
        </w:r>
        <w:r>
          <w:fldChar w:fldCharType="separate"/>
        </w:r>
        <w:r>
          <w:rPr>
            <w:lang w:val="nl-NL"/>
          </w:rPr>
          <w:t>2</w:t>
        </w:r>
        <w:r>
          <w:fldChar w:fldCharType="end"/>
        </w:r>
      </w:p>
    </w:sdtContent>
  </w:sdt>
  <w:p w14:paraId="7691E2E6" w14:textId="77777777" w:rsidR="0024521E" w:rsidRDefault="0024521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13DC8" w14:textId="77777777" w:rsidR="00FA3136" w:rsidRDefault="00FA3136" w:rsidP="0024521E">
      <w:pPr>
        <w:spacing w:after="0" w:line="240" w:lineRule="auto"/>
      </w:pPr>
      <w:r>
        <w:separator/>
      </w:r>
    </w:p>
  </w:footnote>
  <w:footnote w:type="continuationSeparator" w:id="0">
    <w:p w14:paraId="3A71CEB4" w14:textId="77777777" w:rsidR="00FA3136" w:rsidRDefault="00FA3136" w:rsidP="002452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135D33"/>
    <w:multiLevelType w:val="hybridMultilevel"/>
    <w:tmpl w:val="0F2C5F9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Verduyn Tineke (PZ RIHo)">
    <w15:presenceInfo w15:providerId="None" w15:userId="Verduyn Tineke (PZ RIH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34B"/>
    <w:rsid w:val="000F26CE"/>
    <w:rsid w:val="00100808"/>
    <w:rsid w:val="001F51F3"/>
    <w:rsid w:val="0024521E"/>
    <w:rsid w:val="00375364"/>
    <w:rsid w:val="003C0B79"/>
    <w:rsid w:val="004C1577"/>
    <w:rsid w:val="004E2447"/>
    <w:rsid w:val="005C1DD2"/>
    <w:rsid w:val="007B53D2"/>
    <w:rsid w:val="00E4434B"/>
    <w:rsid w:val="00FA31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028CA"/>
  <w15:chartTrackingRefBased/>
  <w15:docId w15:val="{6868B78E-03C6-47D1-B371-333655F20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4434B"/>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4434B"/>
    <w:pPr>
      <w:ind w:left="720"/>
      <w:contextualSpacing/>
    </w:pPr>
  </w:style>
  <w:style w:type="paragraph" w:styleId="Tekstopmerking">
    <w:name w:val="annotation text"/>
    <w:basedOn w:val="Standaard"/>
    <w:link w:val="TekstopmerkingChar"/>
    <w:uiPriority w:val="99"/>
    <w:unhideWhenUsed/>
    <w:rsid w:val="00E4434B"/>
    <w:pPr>
      <w:spacing w:after="0" w:line="240" w:lineRule="auto"/>
    </w:pPr>
    <w:rPr>
      <w:rFonts w:ascii="Calibri" w:hAnsi="Calibri" w:cs="Calibri"/>
      <w:sz w:val="20"/>
      <w:szCs w:val="20"/>
    </w:rPr>
  </w:style>
  <w:style w:type="character" w:customStyle="1" w:styleId="TekstopmerkingChar">
    <w:name w:val="Tekst opmerking Char"/>
    <w:basedOn w:val="Standaardalinea-lettertype"/>
    <w:link w:val="Tekstopmerking"/>
    <w:uiPriority w:val="99"/>
    <w:rsid w:val="00E4434B"/>
    <w:rPr>
      <w:rFonts w:ascii="Calibri" w:hAnsi="Calibri" w:cs="Calibri"/>
      <w:sz w:val="20"/>
      <w:szCs w:val="20"/>
    </w:rPr>
  </w:style>
  <w:style w:type="paragraph" w:customStyle="1" w:styleId="paragraph">
    <w:name w:val="paragraph"/>
    <w:basedOn w:val="Standaard"/>
    <w:rsid w:val="00E4434B"/>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E4434B"/>
  </w:style>
  <w:style w:type="character" w:customStyle="1" w:styleId="eop">
    <w:name w:val="eop"/>
    <w:basedOn w:val="Standaardalinea-lettertype"/>
    <w:rsid w:val="00E4434B"/>
  </w:style>
  <w:style w:type="character" w:customStyle="1" w:styleId="contextualspellingandgrammarerror">
    <w:name w:val="contextualspellingandgrammarerror"/>
    <w:basedOn w:val="Standaardalinea-lettertype"/>
    <w:rsid w:val="00E4434B"/>
  </w:style>
  <w:style w:type="paragraph" w:styleId="Ballontekst">
    <w:name w:val="Balloon Text"/>
    <w:basedOn w:val="Standaard"/>
    <w:link w:val="BallontekstChar"/>
    <w:uiPriority w:val="99"/>
    <w:semiHidden/>
    <w:unhideWhenUsed/>
    <w:rsid w:val="00E4434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4434B"/>
    <w:rPr>
      <w:rFonts w:ascii="Segoe UI" w:hAnsi="Segoe UI" w:cs="Segoe UI"/>
      <w:sz w:val="18"/>
      <w:szCs w:val="18"/>
    </w:rPr>
  </w:style>
  <w:style w:type="character" w:styleId="Verwijzingopmerking">
    <w:name w:val="annotation reference"/>
    <w:basedOn w:val="Standaardalinea-lettertype"/>
    <w:uiPriority w:val="99"/>
    <w:semiHidden/>
    <w:unhideWhenUsed/>
    <w:rsid w:val="003C0B79"/>
    <w:rPr>
      <w:sz w:val="16"/>
      <w:szCs w:val="16"/>
    </w:rPr>
  </w:style>
  <w:style w:type="paragraph" w:styleId="Koptekst">
    <w:name w:val="header"/>
    <w:basedOn w:val="Standaard"/>
    <w:link w:val="KoptekstChar"/>
    <w:uiPriority w:val="99"/>
    <w:unhideWhenUsed/>
    <w:rsid w:val="0024521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4521E"/>
  </w:style>
  <w:style w:type="paragraph" w:styleId="Voettekst">
    <w:name w:val="footer"/>
    <w:basedOn w:val="Standaard"/>
    <w:link w:val="VoettekstChar"/>
    <w:uiPriority w:val="99"/>
    <w:unhideWhenUsed/>
    <w:rsid w:val="0024521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452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1819</Words>
  <Characters>10007</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Verduyn Tineke (PZ RIHo)</dc:creator>
  <cp:keywords/>
  <dc:description/>
  <cp:lastModifiedBy>Verduyn Tineke (PZ RIHo)</cp:lastModifiedBy>
  <cp:revision>6</cp:revision>
  <dcterms:created xsi:type="dcterms:W3CDTF">2021-12-22T06:56:00Z</dcterms:created>
  <dcterms:modified xsi:type="dcterms:W3CDTF">2021-12-23T12:22:00Z</dcterms:modified>
</cp:coreProperties>
</file>